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AD831" w14:textId="3430F685" w:rsidR="000B7448" w:rsidRPr="003A2893" w:rsidRDefault="003A2893" w:rsidP="000B7448">
      <w:pPr>
        <w:pStyle w:val="Nagwek1"/>
        <w:spacing w:before="120" w:after="120" w:line="360" w:lineRule="auto"/>
        <w:jc w:val="both"/>
        <w:rPr>
          <w:sz w:val="24"/>
          <w:szCs w:val="24"/>
        </w:rPr>
      </w:pPr>
      <w:r w:rsidRPr="005D4B9A">
        <w:rPr>
          <w:sz w:val="24"/>
          <w:szCs w:val="28"/>
        </w:rPr>
        <w:t>Streszczenie</w:t>
      </w:r>
      <w:r w:rsidR="000B7448" w:rsidRPr="005D4B9A">
        <w:rPr>
          <w:sz w:val="24"/>
          <w:szCs w:val="28"/>
        </w:rPr>
        <w:t xml:space="preserve"> </w:t>
      </w:r>
      <w:r w:rsidRPr="005D4B9A">
        <w:rPr>
          <w:sz w:val="24"/>
          <w:szCs w:val="28"/>
        </w:rPr>
        <w:t xml:space="preserve">projektu </w:t>
      </w:r>
      <w:r w:rsidR="005D4B9A" w:rsidRPr="005D4B9A">
        <w:rPr>
          <w:sz w:val="24"/>
          <w:szCs w:val="28"/>
        </w:rPr>
        <w:t xml:space="preserve">aktualizacji </w:t>
      </w:r>
      <w:r w:rsidRPr="005D4B9A">
        <w:rPr>
          <w:sz w:val="24"/>
          <w:szCs w:val="28"/>
        </w:rPr>
        <w:t>założeń</w:t>
      </w:r>
      <w:r w:rsidR="000B7448" w:rsidRPr="005D4B9A">
        <w:rPr>
          <w:sz w:val="28"/>
        </w:rPr>
        <w:t xml:space="preserve"> </w:t>
      </w:r>
      <w:r w:rsidRPr="005D4B9A">
        <w:rPr>
          <w:sz w:val="24"/>
          <w:szCs w:val="24"/>
        </w:rPr>
        <w:t xml:space="preserve">do planu zaopatrzenia w ciepło, energię elektryczną, paliwa gazowe </w:t>
      </w:r>
      <w:r w:rsidR="005D4B9A" w:rsidRPr="005D4B9A">
        <w:rPr>
          <w:sz w:val="24"/>
          <w:szCs w:val="24"/>
        </w:rPr>
        <w:t>dla Miasta i Gminy Gniewkowo na lata 2022-2036</w:t>
      </w:r>
      <w:r w:rsidRPr="005D4B9A">
        <w:rPr>
          <w:sz w:val="24"/>
          <w:szCs w:val="24"/>
        </w:rPr>
        <w:t xml:space="preserve"> </w:t>
      </w:r>
      <w:r w:rsidRPr="003A2893">
        <w:rPr>
          <w:sz w:val="24"/>
          <w:szCs w:val="24"/>
        </w:rPr>
        <w:t>– w języku niespecjalistycznym</w:t>
      </w:r>
    </w:p>
    <w:p w14:paraId="07B4BB67" w14:textId="532E2D52" w:rsidR="000B7448" w:rsidRPr="00A0259E" w:rsidRDefault="000B7448" w:rsidP="000B7448">
      <w:pPr>
        <w:pStyle w:val="Bezodstpw"/>
        <w:rPr>
          <w:rFonts w:cs="Arial"/>
          <w:szCs w:val="22"/>
        </w:rPr>
      </w:pPr>
      <w:r w:rsidRPr="00A0259E">
        <w:rPr>
          <w:rFonts w:cs="Arial"/>
        </w:rPr>
        <w:t xml:space="preserve">Podstawę prawną opracowania projektu założeń do planu zaopatrzenia w ciepło, energię </w:t>
      </w:r>
      <w:r w:rsidRPr="00A0259E">
        <w:rPr>
          <w:rFonts w:cs="Arial"/>
          <w:szCs w:val="22"/>
        </w:rPr>
        <w:t xml:space="preserve">elektryczną i paliwa gazowe </w:t>
      </w:r>
      <w:r>
        <w:rPr>
          <w:rFonts w:cs="Arial"/>
          <w:szCs w:val="22"/>
        </w:rPr>
        <w:t xml:space="preserve">(dalej Projekt założeń) </w:t>
      </w:r>
      <w:r w:rsidRPr="00A0259E">
        <w:rPr>
          <w:rFonts w:cs="Arial"/>
          <w:szCs w:val="22"/>
        </w:rPr>
        <w:t xml:space="preserve">stanowi art. 19 ust. 1 ustawy z dnia 10 kwietnia 1997 r. </w:t>
      </w:r>
      <w:r w:rsidRPr="00A0259E">
        <w:rPr>
          <w:rFonts w:eastAsia="Calibri" w:cs="Arial"/>
          <w:szCs w:val="22"/>
        </w:rPr>
        <w:t xml:space="preserve">Prawo energetyczne </w:t>
      </w:r>
      <w:r w:rsidRPr="005D4B9A">
        <w:rPr>
          <w:rFonts w:eastAsia="Calibri" w:cs="Arial"/>
          <w:szCs w:val="22"/>
        </w:rPr>
        <w:t>(</w:t>
      </w:r>
      <w:r w:rsidR="003A2893" w:rsidRPr="005D4B9A">
        <w:rPr>
          <w:rFonts w:eastAsia="Calibri" w:cs="Arial"/>
          <w:szCs w:val="22"/>
        </w:rPr>
        <w:t xml:space="preserve">Dz.U. </w:t>
      </w:r>
      <w:r w:rsidR="00733292" w:rsidRPr="005D4B9A">
        <w:rPr>
          <w:rFonts w:eastAsia="Calibri" w:cs="Arial"/>
          <w:szCs w:val="22"/>
        </w:rPr>
        <w:t>202</w:t>
      </w:r>
      <w:r w:rsidR="005D4B9A" w:rsidRPr="005D4B9A">
        <w:rPr>
          <w:rFonts w:eastAsia="Calibri" w:cs="Arial"/>
          <w:szCs w:val="22"/>
        </w:rPr>
        <w:t>6</w:t>
      </w:r>
      <w:r w:rsidR="00733292" w:rsidRPr="005D4B9A">
        <w:rPr>
          <w:rFonts w:eastAsia="Calibri" w:cs="Arial"/>
          <w:szCs w:val="22"/>
        </w:rPr>
        <w:t xml:space="preserve"> poz. </w:t>
      </w:r>
      <w:r w:rsidR="005D4B9A" w:rsidRPr="005D4B9A">
        <w:rPr>
          <w:rFonts w:eastAsia="Calibri" w:cs="Arial"/>
          <w:szCs w:val="22"/>
        </w:rPr>
        <w:t>43</w:t>
      </w:r>
      <w:r w:rsidR="00733292" w:rsidRPr="005D4B9A">
        <w:rPr>
          <w:rFonts w:eastAsia="Calibri" w:cs="Arial"/>
          <w:szCs w:val="22"/>
        </w:rPr>
        <w:t xml:space="preserve"> ze zm</w:t>
      </w:r>
      <w:r w:rsidRPr="005D4B9A">
        <w:rPr>
          <w:rFonts w:eastAsia="Calibri" w:cs="Arial"/>
          <w:szCs w:val="22"/>
        </w:rPr>
        <w:t>.),</w:t>
      </w:r>
      <w:r w:rsidRPr="005D4B9A">
        <w:rPr>
          <w:rFonts w:cs="Arial"/>
          <w:szCs w:val="22"/>
        </w:rPr>
        <w:t xml:space="preserve"> zgodnie </w:t>
      </w:r>
      <w:r w:rsidRPr="00A0259E">
        <w:rPr>
          <w:rFonts w:cs="Arial"/>
          <w:szCs w:val="22"/>
        </w:rPr>
        <w:t xml:space="preserve">z którym wójt (burmistrz, prezydent miasta) opracowuje projekt założeń. Sporządza się go dla obszaru gminy co najmniej na okres 15 lat i aktualizuje co najmniej raz na 3 lata. </w:t>
      </w:r>
    </w:p>
    <w:p w14:paraId="3B860B9A" w14:textId="77777777" w:rsidR="000B7448" w:rsidRPr="00A0259E" w:rsidRDefault="000B7448" w:rsidP="000B7448">
      <w:pPr>
        <w:pStyle w:val="Bezodstpw"/>
        <w:rPr>
          <w:rFonts w:cs="Arial"/>
        </w:rPr>
      </w:pPr>
      <w:r w:rsidRPr="00A0259E">
        <w:rPr>
          <w:rFonts w:cs="Arial"/>
        </w:rPr>
        <w:t xml:space="preserve">Należy </w:t>
      </w:r>
      <w:r>
        <w:rPr>
          <w:rFonts w:cs="Arial"/>
        </w:rPr>
        <w:t xml:space="preserve">również </w:t>
      </w:r>
      <w:r w:rsidRPr="00A0259E">
        <w:rPr>
          <w:rFonts w:cs="Arial"/>
        </w:rPr>
        <w:t>wskazać, że zgodnie z art. 18 ust</w:t>
      </w:r>
      <w:r>
        <w:rPr>
          <w:rFonts w:cs="Arial"/>
        </w:rPr>
        <w:t>.</w:t>
      </w:r>
      <w:r w:rsidRPr="00A0259E">
        <w:rPr>
          <w:rFonts w:cs="Arial"/>
        </w:rPr>
        <w:t xml:space="preserve"> 1 </w:t>
      </w:r>
      <w:r>
        <w:rPr>
          <w:rFonts w:cs="Arial"/>
        </w:rPr>
        <w:t>ww.</w:t>
      </w:r>
      <w:r w:rsidRPr="00A0259E">
        <w:rPr>
          <w:rFonts w:cs="Arial"/>
        </w:rPr>
        <w:t xml:space="preserve"> ustawy</w:t>
      </w:r>
      <w:r>
        <w:rPr>
          <w:rFonts w:cs="Arial"/>
        </w:rPr>
        <w:t>,</w:t>
      </w:r>
      <w:r w:rsidRPr="00A0259E">
        <w:rPr>
          <w:rFonts w:cs="Arial"/>
        </w:rPr>
        <w:t xml:space="preserve"> do zadań własnych gminy w zakresie zaopatrzenia w energię elektryczną, ciepło i paliwa gazowe należy:</w:t>
      </w:r>
    </w:p>
    <w:p w14:paraId="2077DABB" w14:textId="77777777" w:rsidR="000B7448" w:rsidRPr="00A0259E" w:rsidRDefault="000B7448" w:rsidP="000B7448">
      <w:pPr>
        <w:pStyle w:val="Bezodstpw"/>
        <w:numPr>
          <w:ilvl w:val="0"/>
          <w:numId w:val="3"/>
        </w:numPr>
        <w:ind w:left="357" w:right="0" w:hanging="357"/>
        <w:contextualSpacing/>
        <w:rPr>
          <w:rFonts w:cs="Arial"/>
        </w:rPr>
      </w:pPr>
      <w:r w:rsidRPr="00A0259E">
        <w:rPr>
          <w:rFonts w:cs="Arial"/>
        </w:rPr>
        <w:t>planowanie i organizacja zaopatrzenia w ciepło, energię elektryczną i paliwa gazowe na obszarze gminy,</w:t>
      </w:r>
    </w:p>
    <w:p w14:paraId="310EEBDC" w14:textId="77777777" w:rsidR="000B7448" w:rsidRPr="00A0259E" w:rsidRDefault="000B7448" w:rsidP="000B7448">
      <w:pPr>
        <w:pStyle w:val="Bezodstpw"/>
        <w:numPr>
          <w:ilvl w:val="0"/>
          <w:numId w:val="3"/>
        </w:numPr>
        <w:ind w:left="357" w:right="0" w:hanging="357"/>
        <w:contextualSpacing/>
        <w:rPr>
          <w:rFonts w:cs="Arial"/>
        </w:rPr>
      </w:pPr>
      <w:r w:rsidRPr="00A0259E">
        <w:rPr>
          <w:rFonts w:cs="Arial"/>
        </w:rPr>
        <w:t>planowanie oświetlenia miejsc publicznych i dróg znajdujących się na terenie gminy,</w:t>
      </w:r>
    </w:p>
    <w:p w14:paraId="247B2C0B" w14:textId="77777777" w:rsidR="000B7448" w:rsidRPr="00A0259E" w:rsidRDefault="000B7448" w:rsidP="000B7448">
      <w:pPr>
        <w:pStyle w:val="Bezodstpw"/>
        <w:numPr>
          <w:ilvl w:val="0"/>
          <w:numId w:val="3"/>
        </w:numPr>
        <w:ind w:left="357" w:right="0" w:hanging="357"/>
        <w:contextualSpacing/>
        <w:rPr>
          <w:rFonts w:cs="Arial"/>
        </w:rPr>
      </w:pPr>
      <w:r w:rsidRPr="00A0259E">
        <w:rPr>
          <w:rFonts w:cs="Arial"/>
        </w:rPr>
        <w:t>finansowanie oświetlenia ulic, placów i dróg znajdujących się na terenie gminy,</w:t>
      </w:r>
    </w:p>
    <w:p w14:paraId="245562A9" w14:textId="77777777" w:rsidR="000B7448" w:rsidRPr="00A0259E" w:rsidRDefault="000B7448" w:rsidP="000B7448">
      <w:pPr>
        <w:pStyle w:val="Bezodstpw"/>
        <w:numPr>
          <w:ilvl w:val="0"/>
          <w:numId w:val="3"/>
        </w:numPr>
        <w:ind w:left="357" w:right="0" w:hanging="357"/>
        <w:contextualSpacing/>
        <w:rPr>
          <w:rFonts w:cs="Arial"/>
        </w:rPr>
      </w:pPr>
      <w:r w:rsidRPr="00A0259E">
        <w:rPr>
          <w:rFonts w:cs="Arial"/>
        </w:rPr>
        <w:t>planowanie i organizacja działań mających na celu racjonalizację zużycia energii i promocję rozwiązań zmniejszających zuż</w:t>
      </w:r>
      <w:r>
        <w:rPr>
          <w:rFonts w:cs="Arial"/>
        </w:rPr>
        <w:t>ycie energii na obszarze gminy</w:t>
      </w:r>
      <w:r w:rsidRPr="00A0259E">
        <w:rPr>
          <w:rFonts w:cs="Arial"/>
        </w:rPr>
        <w:t>,</w:t>
      </w:r>
    </w:p>
    <w:p w14:paraId="7AB6BDDD" w14:textId="77777777" w:rsidR="000B7448" w:rsidRPr="00A0259E" w:rsidRDefault="000B7448" w:rsidP="000B7448">
      <w:pPr>
        <w:pStyle w:val="Bezodstpw"/>
        <w:numPr>
          <w:ilvl w:val="0"/>
          <w:numId w:val="3"/>
        </w:numPr>
        <w:ind w:left="357" w:right="0" w:hanging="357"/>
        <w:contextualSpacing/>
        <w:rPr>
          <w:rFonts w:cs="Arial"/>
        </w:rPr>
      </w:pPr>
      <w:r w:rsidRPr="00A0259E">
        <w:rPr>
          <w:rFonts w:cs="Arial"/>
        </w:rPr>
        <w:t>ocena potencjału wytwarzania energii elektrycznej w wysokosprawnej kogeneracji oraz efektywnych energetycznie systemów ciepłowniczych lub chłodniczych na obszarze gminy.</w:t>
      </w:r>
    </w:p>
    <w:p w14:paraId="4F9ECAA2" w14:textId="31D03356" w:rsidR="000B7448" w:rsidRPr="00003D2C" w:rsidRDefault="000B7448" w:rsidP="000B7448">
      <w:pPr>
        <w:pStyle w:val="Bezodstpw"/>
        <w:ind w:right="0"/>
        <w:rPr>
          <w:rFonts w:cs="Arial"/>
          <w:szCs w:val="22"/>
        </w:rPr>
      </w:pPr>
      <w:r w:rsidRPr="00003D2C">
        <w:rPr>
          <w:rFonts w:cs="Arial"/>
          <w:szCs w:val="22"/>
        </w:rPr>
        <w:t>Ponadto</w:t>
      </w:r>
      <w:r>
        <w:rPr>
          <w:rFonts w:cs="Arial"/>
          <w:szCs w:val="22"/>
        </w:rPr>
        <w:t>,</w:t>
      </w:r>
      <w:r w:rsidRPr="00003D2C">
        <w:rPr>
          <w:rFonts w:cs="Arial"/>
          <w:szCs w:val="22"/>
        </w:rPr>
        <w:t xml:space="preserve"> zgodnie z zapisami art. 7 ust. 1 pkt 3 ustawy z dnia 8 marca 1990 r. o samorządzie </w:t>
      </w:r>
      <w:r w:rsidRPr="00003D2C">
        <w:rPr>
          <w:rFonts w:cs="Arial"/>
          <w:szCs w:val="22"/>
          <w:lang w:eastAsia="pl-PL"/>
        </w:rPr>
        <w:t xml:space="preserve">gminnym </w:t>
      </w:r>
      <w:r w:rsidRPr="005D4B9A">
        <w:rPr>
          <w:rFonts w:cs="Arial"/>
          <w:szCs w:val="22"/>
          <w:lang w:eastAsia="pl-PL"/>
        </w:rPr>
        <w:t xml:space="preserve">(Dz.U. </w:t>
      </w:r>
      <w:r w:rsidR="00733292" w:rsidRPr="005D4B9A">
        <w:rPr>
          <w:rFonts w:cs="Arial"/>
          <w:szCs w:val="22"/>
          <w:lang w:eastAsia="pl-PL"/>
        </w:rPr>
        <w:t>202</w:t>
      </w:r>
      <w:r w:rsidR="005D4B9A" w:rsidRPr="005D4B9A">
        <w:rPr>
          <w:rFonts w:cs="Arial"/>
          <w:szCs w:val="22"/>
          <w:lang w:eastAsia="pl-PL"/>
        </w:rPr>
        <w:t>6</w:t>
      </w:r>
      <w:r w:rsidR="00733292" w:rsidRPr="005D4B9A">
        <w:rPr>
          <w:rFonts w:cs="Arial"/>
          <w:szCs w:val="22"/>
          <w:lang w:eastAsia="pl-PL"/>
        </w:rPr>
        <w:t xml:space="preserve"> poz. </w:t>
      </w:r>
      <w:r w:rsidR="005D4B9A" w:rsidRPr="005D4B9A">
        <w:rPr>
          <w:rFonts w:cs="Arial"/>
          <w:szCs w:val="22"/>
          <w:lang w:eastAsia="pl-PL"/>
        </w:rPr>
        <w:t>662</w:t>
      </w:r>
      <w:r w:rsidR="003A2893" w:rsidRPr="005D4B9A">
        <w:rPr>
          <w:rFonts w:cs="Arial"/>
          <w:szCs w:val="22"/>
          <w:lang w:eastAsia="pl-PL"/>
        </w:rPr>
        <w:t>)</w:t>
      </w:r>
      <w:r w:rsidRPr="005D4B9A">
        <w:rPr>
          <w:rFonts w:cs="Arial"/>
          <w:szCs w:val="22"/>
          <w:lang w:eastAsia="pl-PL"/>
        </w:rPr>
        <w:t xml:space="preserve">, </w:t>
      </w:r>
      <w:r w:rsidRPr="00003D2C">
        <w:rPr>
          <w:rFonts w:cs="Arial"/>
          <w:szCs w:val="22"/>
        </w:rPr>
        <w:t xml:space="preserve">do zadań własnych gminy należy zaopatrzenie w energię elektryczną i cieplną oraz gaz. </w:t>
      </w:r>
    </w:p>
    <w:p w14:paraId="19D092BA" w14:textId="77777777" w:rsidR="00C216BD" w:rsidRPr="00A0259E" w:rsidRDefault="00C216BD" w:rsidP="00C216BD">
      <w:pPr>
        <w:pStyle w:val="Bezodstpw"/>
        <w:rPr>
          <w:rFonts w:cs="Arial"/>
        </w:rPr>
      </w:pPr>
      <w:r w:rsidRPr="00A0259E">
        <w:rPr>
          <w:rFonts w:cs="Arial"/>
        </w:rPr>
        <w:t>Zg</w:t>
      </w:r>
      <w:r>
        <w:rPr>
          <w:rFonts w:cs="Arial"/>
        </w:rPr>
        <w:t>odnie z art. 19 ust. 3 u</w:t>
      </w:r>
      <w:r w:rsidRPr="00A0259E">
        <w:rPr>
          <w:rFonts w:cs="Arial"/>
        </w:rPr>
        <w:t xml:space="preserve">stawy z dnia 10 kwietnia 1997 r. Prawo energetyczne </w:t>
      </w:r>
      <w:r w:rsidRPr="00A44CE5">
        <w:rPr>
          <w:rFonts w:cs="Arial"/>
        </w:rPr>
        <w:t>Projekt założeń powinien określać</w:t>
      </w:r>
      <w:r w:rsidRPr="00A0259E">
        <w:rPr>
          <w:rFonts w:cs="Arial"/>
        </w:rPr>
        <w:t xml:space="preserve">: </w:t>
      </w:r>
    </w:p>
    <w:p w14:paraId="7199B64B" w14:textId="77777777" w:rsidR="00C216BD" w:rsidRPr="00A0259E" w:rsidRDefault="00C216BD" w:rsidP="00C216BD">
      <w:pPr>
        <w:pStyle w:val="Bezodstpw"/>
        <w:numPr>
          <w:ilvl w:val="0"/>
          <w:numId w:val="4"/>
        </w:numPr>
        <w:spacing w:before="0" w:after="0"/>
        <w:ind w:left="357" w:right="0" w:hanging="357"/>
        <w:rPr>
          <w:rFonts w:cs="Arial"/>
        </w:rPr>
      </w:pPr>
      <w:r w:rsidRPr="00A0259E">
        <w:rPr>
          <w:rFonts w:cs="Arial"/>
        </w:rPr>
        <w:t>ocenę stanu aktualnego i przewidywanych zmian zapotrzebowania na ciepło, energię elektryczną i paliwa gazowe;</w:t>
      </w:r>
    </w:p>
    <w:p w14:paraId="30F35B73" w14:textId="77777777" w:rsidR="00C216BD" w:rsidRPr="00A0259E" w:rsidRDefault="00C216BD" w:rsidP="00C216BD">
      <w:pPr>
        <w:pStyle w:val="Bezodstpw"/>
        <w:numPr>
          <w:ilvl w:val="0"/>
          <w:numId w:val="4"/>
        </w:numPr>
        <w:spacing w:before="0" w:after="0"/>
        <w:ind w:left="357" w:right="0" w:hanging="357"/>
        <w:rPr>
          <w:rFonts w:cs="Arial"/>
        </w:rPr>
      </w:pPr>
      <w:r w:rsidRPr="00A0259E">
        <w:rPr>
          <w:rFonts w:cs="Arial"/>
        </w:rPr>
        <w:t>przedsięwzięcia racjonalizujące użytkowanie ciepła, energii elektrycznej i paliw gazowych;</w:t>
      </w:r>
    </w:p>
    <w:p w14:paraId="03081C87" w14:textId="77777777" w:rsidR="00C216BD" w:rsidRDefault="00C216BD" w:rsidP="00C216BD">
      <w:pPr>
        <w:pStyle w:val="Bezodstpw"/>
        <w:numPr>
          <w:ilvl w:val="0"/>
          <w:numId w:val="4"/>
        </w:numPr>
        <w:spacing w:before="0" w:after="0"/>
        <w:ind w:left="357" w:right="0" w:hanging="357"/>
        <w:rPr>
          <w:rFonts w:cs="Arial"/>
        </w:rPr>
      </w:pPr>
      <w:r w:rsidRPr="00A0259E">
        <w:rPr>
          <w:rFonts w:cs="Arial"/>
        </w:rPr>
        <w:t xml:space="preserve">możliwości wykorzystania istniejących nadwyżek i lokalnych zasobów paliw i energii, z uwzględnieniem energii elektrycznej i ciepła wytwarzanych w instalacjach odnawialnego źródła energii, energii elektrycznej i ciepła użytkowego wytwarzanych w kogeneracji oraz zagospodarowania ciepła odpadowego z instalacji przemysłowych; </w:t>
      </w:r>
    </w:p>
    <w:p w14:paraId="693B2109" w14:textId="77777777" w:rsidR="00C216BD" w:rsidRPr="0041075F" w:rsidRDefault="00C216BD" w:rsidP="00C216BD">
      <w:pPr>
        <w:pStyle w:val="Bezodstpw"/>
        <w:numPr>
          <w:ilvl w:val="0"/>
          <w:numId w:val="4"/>
        </w:numPr>
        <w:spacing w:before="0" w:after="0"/>
        <w:ind w:left="357" w:right="0" w:hanging="357"/>
        <w:rPr>
          <w:rFonts w:cs="Arial"/>
        </w:rPr>
      </w:pPr>
      <w:r w:rsidRPr="0041075F">
        <w:rPr>
          <w:rFonts w:cs="Arial"/>
        </w:rPr>
        <w:t xml:space="preserve">możliwości stosowania środków poprawy efektywności energetycznej w rozumieniu </w:t>
      </w:r>
      <w:r>
        <w:rPr>
          <w:rFonts w:cs="Arial"/>
        </w:rPr>
        <w:t xml:space="preserve">art.6   ust. 2 ustawy z dnia </w:t>
      </w:r>
      <w:r w:rsidRPr="0041075F">
        <w:rPr>
          <w:rFonts w:cs="Arial"/>
        </w:rPr>
        <w:t>20</w:t>
      </w:r>
      <w:r>
        <w:rPr>
          <w:rFonts w:cs="Arial"/>
        </w:rPr>
        <w:t xml:space="preserve"> </w:t>
      </w:r>
      <w:r w:rsidRPr="0041075F">
        <w:rPr>
          <w:rFonts w:cs="Arial"/>
        </w:rPr>
        <w:t>maja</w:t>
      </w:r>
      <w:r>
        <w:rPr>
          <w:rFonts w:cs="Arial"/>
        </w:rPr>
        <w:t xml:space="preserve"> 2016 r. o </w:t>
      </w:r>
      <w:r w:rsidRPr="0041075F">
        <w:rPr>
          <w:rFonts w:cs="Arial"/>
        </w:rPr>
        <w:t>efektywności energetycznej;</w:t>
      </w:r>
    </w:p>
    <w:p w14:paraId="1C6F46BE" w14:textId="77777777" w:rsidR="00A0505F" w:rsidRDefault="00C216BD" w:rsidP="00C216BD">
      <w:pPr>
        <w:pStyle w:val="Bezodstpw"/>
        <w:numPr>
          <w:ilvl w:val="0"/>
          <w:numId w:val="4"/>
        </w:numPr>
        <w:spacing w:before="0" w:after="0"/>
        <w:ind w:left="357" w:right="0" w:hanging="357"/>
        <w:rPr>
          <w:rFonts w:cs="Arial"/>
        </w:rPr>
      </w:pPr>
      <w:r w:rsidRPr="00A0259E">
        <w:rPr>
          <w:rFonts w:cs="Arial"/>
        </w:rPr>
        <w:t>zakres współpracy z innymi gminami.</w:t>
      </w:r>
    </w:p>
    <w:p w14:paraId="1747F698" w14:textId="47B6D50B" w:rsidR="005D4B9A" w:rsidRDefault="005D4B9A" w:rsidP="005D4B9A">
      <w:pPr>
        <w:pStyle w:val="Bezodstpw"/>
        <w:ind w:right="0"/>
        <w:rPr>
          <w:rFonts w:cs="Arial"/>
        </w:rPr>
      </w:pPr>
      <w:r w:rsidRPr="00F424D4">
        <w:rPr>
          <w:rFonts w:cs="Arial"/>
        </w:rPr>
        <w:lastRenderedPageBreak/>
        <w:t>Gmina Gniewkowo jest gminą miejsko-wiejską położoną w południowo-zachodniej części województwa kujawsko-pomorskiego, w powiecie inowrocławskim, w odległości ok. 18 km od Inowrocławia i ok. 22 km od Torunia.</w:t>
      </w:r>
      <w:r w:rsidRPr="00F424D4">
        <w:t xml:space="preserve"> </w:t>
      </w:r>
      <w:r w:rsidRPr="00F424D4">
        <w:rPr>
          <w:rFonts w:cs="Arial"/>
        </w:rPr>
        <w:t>W 2025 roku Gmina Gniewkowo była zamieszkiwana przez 13 028 osób.</w:t>
      </w:r>
      <w:r w:rsidRPr="000D1C29">
        <w:t xml:space="preserve"> </w:t>
      </w:r>
      <w:r w:rsidR="00890C51" w:rsidRPr="00890C51">
        <w:rPr>
          <w:rFonts w:cs="Arial"/>
        </w:rPr>
        <w:t>Prognozuje się, że liczba ludności w 2036 roku spadnie do 11 293 osób</w:t>
      </w:r>
      <w:r w:rsidRPr="000D1C29">
        <w:rPr>
          <w:rFonts w:cs="Arial"/>
        </w:rPr>
        <w:t>.</w:t>
      </w:r>
    </w:p>
    <w:p w14:paraId="3ECBF265" w14:textId="77777777" w:rsidR="005D4B9A" w:rsidRDefault="005D4B9A" w:rsidP="005D4B9A">
      <w:pPr>
        <w:pStyle w:val="Bezodstpw"/>
        <w:ind w:right="0"/>
        <w:rPr>
          <w:rFonts w:cs="Arial"/>
        </w:rPr>
      </w:pPr>
      <w:r w:rsidRPr="00F424D4">
        <w:rPr>
          <w:rFonts w:cs="Arial"/>
        </w:rPr>
        <w:t>Na terenie gminy Gniewkowo funkcjonuje sieć ciepłownicza zarządzana przez Przedsiębiorstwo Komunalne „Gniewkowo” Sp. z o.o. Spółka świadczy usługi w zakresie wytwarzania i przesyłania ciepła (CO) i ciepłej wody użytkowej (CWU) dla mieszkańców gminy Gniewkowo. Przedsiębiorstwo eksploatuje 9 kotłowni na terenie gminy Gniewkowo</w:t>
      </w:r>
      <w:r>
        <w:rPr>
          <w:rFonts w:cs="Arial"/>
        </w:rPr>
        <w:t>.</w:t>
      </w:r>
    </w:p>
    <w:p w14:paraId="311EE9FA" w14:textId="77777777" w:rsidR="005D4B9A" w:rsidRPr="005D4B9A" w:rsidRDefault="005D4B9A" w:rsidP="005D4B9A">
      <w:pPr>
        <w:spacing w:before="120" w:after="120" w:line="360" w:lineRule="auto"/>
        <w:jc w:val="both"/>
        <w:rPr>
          <w:rFonts w:ascii="Arial" w:eastAsia="Times New Roman" w:hAnsi="Arial" w:cs="Arial"/>
          <w:szCs w:val="20"/>
        </w:rPr>
      </w:pPr>
      <w:r w:rsidRPr="005D4B9A">
        <w:rPr>
          <w:rFonts w:ascii="Arial" w:eastAsia="Times New Roman" w:hAnsi="Arial" w:cs="Arial"/>
          <w:szCs w:val="20"/>
        </w:rPr>
        <w:t>W celu poprawy zaopatrzenia w ciepło, na terenie gminy Gniewkowo przewiduje się wymianę źródeł ciepła na bardziej ekologiczne rozwiązania oraz realizację działań termomodernizacyjnych, które przyczynią się do poprawy efektywności energetycznej budynków.</w:t>
      </w:r>
    </w:p>
    <w:p w14:paraId="0A02FB22" w14:textId="77777777" w:rsidR="005D4B9A" w:rsidRDefault="005D4B9A" w:rsidP="005D4B9A">
      <w:pPr>
        <w:pStyle w:val="Bezodstpw"/>
        <w:ind w:right="0"/>
        <w:rPr>
          <w:rFonts w:cs="Arial"/>
        </w:rPr>
      </w:pPr>
      <w:r w:rsidRPr="00F424D4">
        <w:rPr>
          <w:rFonts w:cs="Arial"/>
        </w:rPr>
        <w:t xml:space="preserve">Gmina Gniewkowo zasilana jest gazem ziemnym wysokometanowym typu E (wg PN-C-04753). Dostawcą gazu na terenie gminy jest Polska Spółka Gazownictwa Sp. z o.o. Odział Zakład Gazowniczy w Bydgoszczy. Źródłem zasilania dla gminy jest gazociąg wysokiego ciśnienia DN250 relacji Turzno-Otorowo wraz z </w:t>
      </w:r>
      <w:proofErr w:type="spellStart"/>
      <w:r w:rsidRPr="00F424D4">
        <w:rPr>
          <w:rFonts w:cs="Arial"/>
        </w:rPr>
        <w:t>odgałęzieniami</w:t>
      </w:r>
      <w:proofErr w:type="spellEnd"/>
      <w:r>
        <w:rPr>
          <w:rFonts w:cs="Arial"/>
        </w:rPr>
        <w:t xml:space="preserve">. </w:t>
      </w:r>
      <w:r w:rsidRPr="004C40B9">
        <w:rPr>
          <w:rFonts w:cs="Arial"/>
        </w:rPr>
        <w:t>Gaz ziemny rozprowadzany jest gazociągami średniego i niskiego ciśnienia do odbiorców zlokalizowanych na terenie sołectw Gniewkowo, Lipie, Wielowieś oraz Wierzchosławice.</w:t>
      </w:r>
    </w:p>
    <w:p w14:paraId="2F68FCA0" w14:textId="5CFA5EC5" w:rsidR="005D4B9A" w:rsidRDefault="005D4B9A" w:rsidP="005D4B9A">
      <w:pPr>
        <w:pStyle w:val="Bezodstpw"/>
        <w:ind w:right="0"/>
        <w:rPr>
          <w:rFonts w:cs="Arial"/>
        </w:rPr>
      </w:pPr>
      <w:r w:rsidRPr="004C40B9">
        <w:rPr>
          <w:rFonts w:cs="Arial"/>
        </w:rPr>
        <w:t xml:space="preserve">Dostawcą energii dla Gminy Gniewkowo jest ENEA Operator Sp. z o.o. Gmina Gniewkowo zaopatrywana jest w energię elektryczną ze stacji GPZ 110/15 </w:t>
      </w:r>
      <w:proofErr w:type="spellStart"/>
      <w:r w:rsidRPr="004C40B9">
        <w:rPr>
          <w:rFonts w:cs="Arial"/>
        </w:rPr>
        <w:t>kV</w:t>
      </w:r>
      <w:proofErr w:type="spellEnd"/>
      <w:r w:rsidRPr="004C40B9">
        <w:rPr>
          <w:rFonts w:cs="Arial"/>
        </w:rPr>
        <w:t xml:space="preserve"> „Gniewkowo”, zlokalizowanej na obszarze miasta Gniewkowa oraz „</w:t>
      </w:r>
      <w:proofErr w:type="spellStart"/>
      <w:r w:rsidRPr="004C40B9">
        <w:rPr>
          <w:rFonts w:cs="Arial"/>
        </w:rPr>
        <w:t>Marulewska</w:t>
      </w:r>
      <w:proofErr w:type="spellEnd"/>
      <w:r w:rsidRPr="004C40B9">
        <w:rPr>
          <w:rFonts w:cs="Arial"/>
        </w:rPr>
        <w:t xml:space="preserve">”, funkcjonującej </w:t>
      </w:r>
      <w:r w:rsidR="00701543">
        <w:rPr>
          <w:rFonts w:cs="Arial"/>
        </w:rPr>
        <w:br/>
      </w:r>
      <w:r w:rsidRPr="004C40B9">
        <w:rPr>
          <w:rFonts w:cs="Arial"/>
        </w:rPr>
        <w:t>w Inowrocławiu.</w:t>
      </w:r>
      <w:r w:rsidRPr="004C40B9">
        <w:t xml:space="preserve"> </w:t>
      </w:r>
      <w:r w:rsidRPr="004C40B9">
        <w:rPr>
          <w:rFonts w:cs="Arial"/>
        </w:rPr>
        <w:t>Infrastrukturę elektroenergetyczną na terenie gminy Gniewkowo tworzą m.in. stacje służące do transformacji napięcia i dystrybucji energii elektrycznej do odbiorców.</w:t>
      </w:r>
    </w:p>
    <w:p w14:paraId="69B06595" w14:textId="77777777" w:rsidR="005D4B9A" w:rsidRDefault="005D4B9A" w:rsidP="005D4B9A">
      <w:pPr>
        <w:pStyle w:val="Bezodstpw"/>
        <w:ind w:right="0"/>
        <w:rPr>
          <w:rFonts w:cs="Arial"/>
        </w:rPr>
      </w:pPr>
      <w:r>
        <w:rPr>
          <w:rFonts w:cs="Arial"/>
        </w:rPr>
        <w:t xml:space="preserve">Gmina Gniewkowo </w:t>
      </w:r>
      <w:r w:rsidRPr="004C40B9">
        <w:rPr>
          <w:rFonts w:cs="Arial"/>
        </w:rPr>
        <w:t>wykorzystuje potencjał w zakresie odnawialnych źródeł energii, ponieważ</w:t>
      </w:r>
      <w:r>
        <w:rPr>
          <w:rFonts w:cs="Arial"/>
        </w:rPr>
        <w:t xml:space="preserve"> </w:t>
      </w:r>
      <w:r w:rsidRPr="004C40B9">
        <w:rPr>
          <w:rFonts w:cs="Arial"/>
        </w:rPr>
        <w:t>obserwuje się zainteresowanie wykorzystaniem odnawialnych źródeł energii, zgłaszają się inwestorzy zainteresowani budowa farm wiatrowych</w:t>
      </w:r>
      <w:r>
        <w:rPr>
          <w:rFonts w:cs="Arial"/>
        </w:rPr>
        <w:t xml:space="preserve"> i fotowoltaicznych. Na terenie gminy zlokalizowane są </w:t>
      </w:r>
      <w:r w:rsidRPr="004C40B9">
        <w:rPr>
          <w:rFonts w:cs="Arial"/>
        </w:rPr>
        <w:t xml:space="preserve">farmy wiatrowe </w:t>
      </w:r>
      <w:r>
        <w:rPr>
          <w:rFonts w:cs="Arial"/>
        </w:rPr>
        <w:t xml:space="preserve">i fotowoltaiczne </w:t>
      </w:r>
      <w:r w:rsidRPr="004C40B9">
        <w:rPr>
          <w:rFonts w:cs="Arial"/>
        </w:rPr>
        <w:t>stanowiące własność podmiotów prywatnych</w:t>
      </w:r>
      <w:r>
        <w:rPr>
          <w:rFonts w:cs="Arial"/>
        </w:rPr>
        <w:t>.</w:t>
      </w:r>
    </w:p>
    <w:p w14:paraId="2F35EEB4" w14:textId="77777777" w:rsidR="005D4B9A" w:rsidRPr="009B2940" w:rsidRDefault="005D4B9A" w:rsidP="005D4B9A">
      <w:pPr>
        <w:pStyle w:val="Bezodstpw"/>
        <w:ind w:right="0"/>
        <w:rPr>
          <w:rFonts w:cs="Arial"/>
          <w:color w:val="000000" w:themeColor="text1"/>
          <w:szCs w:val="22"/>
        </w:rPr>
      </w:pPr>
      <w:r w:rsidRPr="00A717E3">
        <w:rPr>
          <w:rFonts w:cs="Arial"/>
        </w:rPr>
        <w:t xml:space="preserve">W prognozowanym zapotrzebowaniu na energię elektryczną i paliwa gazowe na terenie gminy </w:t>
      </w:r>
      <w:r>
        <w:rPr>
          <w:rFonts w:cs="Arial"/>
        </w:rPr>
        <w:t>Gniewkowo</w:t>
      </w:r>
      <w:r w:rsidRPr="00A717E3">
        <w:rPr>
          <w:rFonts w:cs="Arial"/>
        </w:rPr>
        <w:t xml:space="preserve"> przewiduje się wzrost w nadchodzących latach, co jest efektem rosnącej liczby mieszkań oraz związanym z tym zwiększonym zużyciem energii elektrycznej i gazu. </w:t>
      </w:r>
      <w:r w:rsidRPr="00073797">
        <w:rPr>
          <w:rFonts w:cs="Arial"/>
        </w:rPr>
        <w:t>Jednocześnie zakłada się ograniczenie zapotrzebowania na ciepło dzięki poprawie efektywności energetycznej budynków, realizacji działań termomodernizacyjnych oraz wymianie źródeł ciepła</w:t>
      </w:r>
      <w:r w:rsidRPr="009B2940">
        <w:rPr>
          <w:rFonts w:cs="Arial"/>
        </w:rPr>
        <w:t xml:space="preserve">. </w:t>
      </w:r>
    </w:p>
    <w:p w14:paraId="4313469B" w14:textId="7522CA16" w:rsidR="005D4B9A" w:rsidRPr="009971BC" w:rsidRDefault="005D4B9A" w:rsidP="005D4B9A">
      <w:pPr>
        <w:pStyle w:val="Bezodstpw"/>
        <w:ind w:right="0"/>
        <w:rPr>
          <w:rFonts w:cs="Arial"/>
        </w:rPr>
      </w:pPr>
      <w:r w:rsidRPr="00A717E3">
        <w:rPr>
          <w:rFonts w:cs="Arial"/>
        </w:rPr>
        <w:lastRenderedPageBreak/>
        <w:t xml:space="preserve">Z perspektywy zaopatrzenia gminy w energię, zarówno obecnie, jak i w przyszłości, nie występuje zagrożenie dla środowiska. Przewiduje się natomiast stopniową poprawę stanu środowiska, w szczególności jakości powietrza atmosferycznego, w miarę eliminowania źródeł węglowych. Gmina zapewnia także bezpieczeństwo energetyczne, dbając jednocześnie </w:t>
      </w:r>
      <w:r w:rsidR="00701543">
        <w:rPr>
          <w:rFonts w:cs="Arial"/>
        </w:rPr>
        <w:br/>
      </w:r>
      <w:r w:rsidRPr="00A717E3">
        <w:rPr>
          <w:rFonts w:cs="Arial"/>
        </w:rPr>
        <w:t>o zrównoważony rozwój, który umożliwia zaspokojenie potrzeb w zakresie ciepłej wody użytkowej. Zawartość opracowania pn. „Założenia do planu zaopatrzenia w</w:t>
      </w:r>
      <w:r>
        <w:rPr>
          <w:rFonts w:cs="Arial"/>
        </w:rPr>
        <w:t> </w:t>
      </w:r>
      <w:r w:rsidRPr="00A717E3">
        <w:rPr>
          <w:rFonts w:cs="Arial"/>
        </w:rPr>
        <w:t xml:space="preserve">ciepło, energię elektryczną i paliwa gazowe </w:t>
      </w:r>
      <w:r w:rsidRPr="004C40B9">
        <w:rPr>
          <w:rFonts w:cs="Arial"/>
        </w:rPr>
        <w:t>dla Miasta i Gminy Gniewkowo na lata 2022-2036</w:t>
      </w:r>
      <w:r w:rsidRPr="00A717E3">
        <w:rPr>
          <w:rFonts w:cs="Arial"/>
        </w:rPr>
        <w:t>” odpowiada pod względem redakcyjnym i merytorycznym wymogom Ustawy Prawo energetyczne.</w:t>
      </w:r>
    </w:p>
    <w:p w14:paraId="73F9A3CA" w14:textId="0731A9B3" w:rsidR="00C216BD" w:rsidRPr="00C216BD" w:rsidRDefault="00C216BD" w:rsidP="005D4B9A">
      <w:pPr>
        <w:pStyle w:val="Bezodstpw"/>
        <w:spacing w:before="0" w:after="0"/>
        <w:ind w:right="0"/>
        <w:rPr>
          <w:rFonts w:cs="Arial"/>
        </w:rPr>
      </w:pPr>
    </w:p>
    <w:sectPr w:rsidR="00C216BD" w:rsidRPr="00C21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8C0"/>
    <w:multiLevelType w:val="hybridMultilevel"/>
    <w:tmpl w:val="B77456C4"/>
    <w:lvl w:ilvl="0" w:tplc="C94875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C49A7"/>
    <w:multiLevelType w:val="hybridMultilevel"/>
    <w:tmpl w:val="BAA6F3C6"/>
    <w:lvl w:ilvl="0" w:tplc="C94875D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75666E"/>
    <w:multiLevelType w:val="hybridMultilevel"/>
    <w:tmpl w:val="A6684DFE"/>
    <w:lvl w:ilvl="0" w:tplc="5348571A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1B459F"/>
    <w:multiLevelType w:val="hybridMultilevel"/>
    <w:tmpl w:val="490230E2"/>
    <w:lvl w:ilvl="0" w:tplc="0415000F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4" w15:restartNumberingAfterBreak="0">
    <w:nsid w:val="6B4D370C"/>
    <w:multiLevelType w:val="hybridMultilevel"/>
    <w:tmpl w:val="BCE07D7A"/>
    <w:lvl w:ilvl="0" w:tplc="5348571A">
      <w:start w:val="1"/>
      <w:numFmt w:val="bullet"/>
      <w:lvlText w:val="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810320294">
    <w:abstractNumId w:val="2"/>
  </w:num>
  <w:num w:numId="2" w16cid:durableId="1881895200">
    <w:abstractNumId w:val="0"/>
  </w:num>
  <w:num w:numId="3" w16cid:durableId="959921308">
    <w:abstractNumId w:val="1"/>
  </w:num>
  <w:num w:numId="4" w16cid:durableId="1109353791">
    <w:abstractNumId w:val="4"/>
  </w:num>
  <w:num w:numId="5" w16cid:durableId="19622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20B"/>
    <w:rsid w:val="000B7448"/>
    <w:rsid w:val="002B7F6C"/>
    <w:rsid w:val="00385EF3"/>
    <w:rsid w:val="003A2893"/>
    <w:rsid w:val="0042191C"/>
    <w:rsid w:val="005D4B9A"/>
    <w:rsid w:val="00701543"/>
    <w:rsid w:val="00733292"/>
    <w:rsid w:val="00767200"/>
    <w:rsid w:val="0085020B"/>
    <w:rsid w:val="00890C51"/>
    <w:rsid w:val="00A0505F"/>
    <w:rsid w:val="00B0191C"/>
    <w:rsid w:val="00B22ABE"/>
    <w:rsid w:val="00BD4ECA"/>
    <w:rsid w:val="00C216BD"/>
    <w:rsid w:val="00C25630"/>
    <w:rsid w:val="00C55F13"/>
    <w:rsid w:val="00D7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0BAE"/>
  <w15:chartTrackingRefBased/>
  <w15:docId w15:val="{8E4C9B8C-3AFA-464E-9C3A-B3861AD8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744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B74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7448"/>
    <w:rPr>
      <w:rFonts w:ascii="Arial" w:eastAsia="Calibri" w:hAnsi="Arial" w:cs="Arial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0B744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B74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B74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B744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4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448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448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aliases w:val="Tekst,AN-3,ŚźródłoRysunków"/>
    <w:link w:val="BezodstpwZnak"/>
    <w:uiPriority w:val="1"/>
    <w:qFormat/>
    <w:rsid w:val="000B7448"/>
    <w:pPr>
      <w:spacing w:before="120" w:after="120" w:line="360" w:lineRule="auto"/>
      <w:ind w:right="-6"/>
      <w:jc w:val="both"/>
    </w:pPr>
    <w:rPr>
      <w:rFonts w:ascii="Arial" w:eastAsia="Times New Roman" w:hAnsi="Arial" w:cs="Times New Roman"/>
      <w:szCs w:val="20"/>
    </w:rPr>
  </w:style>
  <w:style w:type="character" w:customStyle="1" w:styleId="BezodstpwZnak">
    <w:name w:val="Bez odstępów Znak"/>
    <w:aliases w:val="Tekst Znak,AN-3 Znak,ŚźródłoRysunków Znak"/>
    <w:link w:val="Bezodstpw"/>
    <w:uiPriority w:val="1"/>
    <w:qFormat/>
    <w:rsid w:val="000B7448"/>
    <w:rPr>
      <w:rFonts w:ascii="Arial" w:eastAsia="Times New Roman" w:hAnsi="Arial" w:cs="Times New Roman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A289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2893"/>
    <w:rPr>
      <w:color w:val="605E5C"/>
      <w:shd w:val="clear" w:color="auto" w:fill="E1DFDD"/>
    </w:rPr>
  </w:style>
  <w:style w:type="paragraph" w:styleId="Akapitzlist">
    <w:name w:val="List Paragraph"/>
    <w:aliases w:val="Numerowanie,List Paragraph,Akapit z listą BS,Kolorowa lista — akcent 11,List_Paragraph,Multilevel para_II,List Paragraph1,Bullet1,Bullets,List Paragraph 1,References,List Paragraph (numbered (a)),IBL List Paragraph,List Paragraph nowy,2"/>
    <w:basedOn w:val="Normalny"/>
    <w:link w:val="AkapitzlistZnak"/>
    <w:uiPriority w:val="34"/>
    <w:qFormat/>
    <w:rsid w:val="005D4B9A"/>
    <w:pPr>
      <w:widowControl w:val="0"/>
      <w:adjustRightInd w:val="0"/>
      <w:ind w:left="708"/>
      <w:jc w:val="both"/>
      <w:textAlignment w:val="baseline"/>
    </w:pPr>
    <w:rPr>
      <w:lang w:val="x-none"/>
    </w:rPr>
  </w:style>
  <w:style w:type="character" w:customStyle="1" w:styleId="AkapitzlistZnak">
    <w:name w:val="Akapit z listą Znak"/>
    <w:aliases w:val="Numerowanie Znak,List Paragraph Znak,Akapit z listą BS Znak,Kolorowa lista — akcent 11 Znak,List_Paragraph Znak,Multilevel para_II Znak,List Paragraph1 Znak,Bullet1 Znak,Bullets Znak,List Paragraph 1 Znak,References Znak,2 Znak"/>
    <w:link w:val="Akapitzlist"/>
    <w:uiPriority w:val="34"/>
    <w:qFormat/>
    <w:locked/>
    <w:rsid w:val="005D4B9A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46778-6D0F-4CCE-8274-54E34DFF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Martyna Ciska</cp:lastModifiedBy>
  <cp:revision>10</cp:revision>
  <dcterms:created xsi:type="dcterms:W3CDTF">2021-05-31T19:54:00Z</dcterms:created>
  <dcterms:modified xsi:type="dcterms:W3CDTF">2026-07-23T06:35:00Z</dcterms:modified>
</cp:coreProperties>
</file>